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D13FFD">
        <w:rPr>
          <w:rFonts w:asciiTheme="majorHAnsi" w:eastAsia="Times New Roman" w:hAnsiTheme="majorHAnsi" w:cs="Times New Roman"/>
          <w:color w:val="000000"/>
        </w:rPr>
        <w:t>June 1</w:t>
      </w:r>
      <w:r w:rsidR="00755E09">
        <w:rPr>
          <w:rFonts w:asciiTheme="majorHAnsi" w:eastAsia="Times New Roman" w:hAnsiTheme="majorHAnsi" w:cs="Times New Roman"/>
          <w:color w:val="000000"/>
        </w:rPr>
        <w:t>7</w:t>
      </w:r>
      <w:r w:rsidR="00D13FFD">
        <w:rPr>
          <w:rFonts w:asciiTheme="majorHAnsi" w:eastAsia="Times New Roman" w:hAnsiTheme="majorHAnsi" w:cs="Times New Roman"/>
          <w:color w:val="000000"/>
        </w:rPr>
        <w:t>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BB6CAC">
        <w:rPr>
          <w:rFonts w:asciiTheme="majorHAnsi" w:eastAsia="Times New Roman" w:hAnsiTheme="majorHAnsi" w:cs="Times New Roman"/>
          <w:color w:val="000000"/>
        </w:rPr>
        <w:t>: 7:0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BB6CAC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3B6E70" w:rsidRPr="0040436A" w:rsidRDefault="000F334E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755E09">
        <w:rPr>
          <w:rFonts w:asciiTheme="majorHAnsi" w:eastAsia="Times New Roman" w:hAnsiTheme="majorHAnsi" w:cs="Times New Roman"/>
          <w:color w:val="000000"/>
        </w:rPr>
        <w:t>Director’s Operations Report</w:t>
      </w:r>
    </w:p>
    <w:p w:rsidR="0040436A" w:rsidRPr="00147D07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755E09"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Approval of any new board members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Nomination and voting of new board member roles for 2020-21 school</w:t>
      </w:r>
      <w:r w:rsidR="005D5E1E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year</w:t>
      </w:r>
    </w:p>
    <w:p w:rsidR="00755E09" w:rsidRDefault="00755E09" w:rsidP="00755E0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</w:rPr>
      </w:pPr>
      <w:r w:rsidRPr="00755E09">
        <w:rPr>
          <w:rFonts w:asciiTheme="majorHAnsi" w:eastAsia="Times New Roman" w:hAnsiTheme="majorHAnsi" w:cs="Times New Roman"/>
          <w:color w:val="000000"/>
        </w:rPr>
        <w:t>Creation and approval of 2020-21 Academic Progress and School Improvement Goals</w:t>
      </w:r>
    </w:p>
    <w:p w:rsidR="000F334E" w:rsidRPr="00755E09" w:rsidRDefault="00755E09" w:rsidP="00755E09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</w:rPr>
        <w:t>End-of-year testing (DIBELS &amp; Rise)</w:t>
      </w:r>
    </w:p>
    <w:p w:rsidR="00147D07" w:rsidRPr="00755E09" w:rsidRDefault="00A72AF6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755E09">
        <w:rPr>
          <w:rFonts w:asciiTheme="majorHAnsi" w:eastAsia="Times New Roman" w:hAnsiTheme="majorHAnsi" w:cs="Times New Roman"/>
          <w:color w:val="000000"/>
        </w:rPr>
        <w:t>Review the following: Board Governance Process, Board Management Delegation Policy, Executive Limitations Policy</w:t>
      </w:r>
    </w:p>
    <w:p w:rsidR="00755E09" w:rsidRPr="00755E09" w:rsidRDefault="00755E09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final amended budget for fiscal year ‘20</w:t>
      </w:r>
    </w:p>
    <w:p w:rsidR="00755E09" w:rsidRPr="009A1306" w:rsidRDefault="00755E09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Vote on proposed budget for fiscal year ‘21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>
      <w:bookmarkStart w:id="0" w:name="_GoBack"/>
      <w:bookmarkEnd w:id="0"/>
    </w:p>
    <w:sectPr w:rsidR="00E84D43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5" w:rsidRDefault="00616655">
      <w:pPr>
        <w:spacing w:after="0" w:line="240" w:lineRule="auto"/>
      </w:pPr>
      <w:r>
        <w:separator/>
      </w:r>
    </w:p>
  </w:endnote>
  <w:endnote w:type="continuationSeparator" w:id="0">
    <w:p w:rsidR="00616655" w:rsidRDefault="0061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5" w:rsidRDefault="00616655">
      <w:pPr>
        <w:spacing w:after="0" w:line="240" w:lineRule="auto"/>
      </w:pPr>
      <w:r>
        <w:separator/>
      </w:r>
    </w:p>
  </w:footnote>
  <w:footnote w:type="continuationSeparator" w:id="0">
    <w:p w:rsidR="00616655" w:rsidRDefault="0061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11DD9"/>
    <w:rsid w:val="0007051B"/>
    <w:rsid w:val="000F334E"/>
    <w:rsid w:val="00147D07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5D5E1E"/>
    <w:rsid w:val="00616655"/>
    <w:rsid w:val="00651965"/>
    <w:rsid w:val="006974F6"/>
    <w:rsid w:val="006A6B1F"/>
    <w:rsid w:val="007216EE"/>
    <w:rsid w:val="00755E09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72AF6"/>
    <w:rsid w:val="00AA5908"/>
    <w:rsid w:val="00AC615B"/>
    <w:rsid w:val="00AC7DB2"/>
    <w:rsid w:val="00B0622F"/>
    <w:rsid w:val="00B4010D"/>
    <w:rsid w:val="00B4587A"/>
    <w:rsid w:val="00B96064"/>
    <w:rsid w:val="00BB6CAC"/>
    <w:rsid w:val="00C9412C"/>
    <w:rsid w:val="00D13FFD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E56F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2020-07-01T17:18:00Z</dcterms:created>
  <dcterms:modified xsi:type="dcterms:W3CDTF">2020-07-01T17:18:00Z</dcterms:modified>
</cp:coreProperties>
</file>